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91" w:rsidRPr="00BB3ED7" w:rsidRDefault="00501191" w:rsidP="00501191">
      <w:pPr>
        <w:jc w:val="both"/>
        <w:rPr>
          <w:rFonts w:cstheme="minorHAnsi"/>
          <w:b/>
          <w:highlight w:val="red"/>
        </w:rPr>
      </w:pPr>
      <w:r w:rsidRPr="00BB3ED7">
        <w:rPr>
          <w:rFonts w:cstheme="minorHAnsi"/>
          <w:b/>
          <w:highlight w:val="red"/>
        </w:rPr>
        <w:t xml:space="preserve">Controle </w:t>
      </w:r>
      <w:r w:rsidR="00BB3ED7" w:rsidRPr="00BB3ED7">
        <w:rPr>
          <w:rFonts w:cstheme="minorHAnsi"/>
          <w:b/>
          <w:highlight w:val="red"/>
        </w:rPr>
        <w:t>GMAM</w:t>
      </w:r>
      <w:r w:rsidRPr="00BB3ED7">
        <w:rPr>
          <w:rFonts w:cstheme="minorHAnsi"/>
          <w:b/>
          <w:highlight w:val="red"/>
        </w:rPr>
        <w:t xml:space="preserve">: </w:t>
      </w:r>
    </w:p>
    <w:p w:rsidR="00501191" w:rsidRDefault="00501191" w:rsidP="00A41DAA">
      <w:pPr>
        <w:spacing w:after="0" w:line="240" w:lineRule="auto"/>
        <w:jc w:val="both"/>
      </w:pPr>
      <w:r w:rsidRPr="0085178B">
        <w:rPr>
          <w:rFonts w:cstheme="minorHAnsi"/>
          <w:highlight w:val="red"/>
        </w:rPr>
        <w:t xml:space="preserve"> </w:t>
      </w:r>
      <w:r>
        <w:rPr>
          <w:rFonts w:cstheme="minorHAnsi"/>
          <w:highlight w:val="red"/>
        </w:rPr>
        <w:t xml:space="preserve"> </w:t>
      </w:r>
      <w:r w:rsidRPr="0085178B">
        <w:rPr>
          <w:rFonts w:cstheme="minorHAnsi"/>
          <w:highlight w:val="red"/>
        </w:rPr>
        <w:t>∆</w:t>
      </w:r>
      <w:r>
        <w:rPr>
          <w:rFonts w:cstheme="minorHAnsi"/>
          <w:highlight w:val="red"/>
        </w:rPr>
        <w:t xml:space="preserve">  </w:t>
      </w:r>
      <w:r>
        <w:rPr>
          <w:rFonts w:cstheme="minorHAnsi"/>
        </w:rPr>
        <w:t xml:space="preserve"> </w:t>
      </w:r>
      <w:r>
        <w:t xml:space="preserve"> Nível 1 (vermelho) – significa </w:t>
      </w:r>
      <w:r w:rsidRPr="0048717F">
        <w:rPr>
          <w:u w:val="single"/>
        </w:rPr>
        <w:t>Alerta Máximo</w:t>
      </w:r>
      <w:r>
        <w:t xml:space="preserve"> e traz uma ação imprescindível, imediata ou em prazo muito curto, sem a qual o produtor está sujeito a alto risco (autuação, embargo, cancelamento de licenças, autorizações, outorga de uso da água). Essa comunicação pode ser voltada a todos os produtores rurais ou pode ser dirigida a uma bacia hidrográfica ou local específico. Pode ter prazo imediato ou até 1 mês.</w:t>
      </w:r>
    </w:p>
    <w:p w:rsidR="00F106C5" w:rsidRDefault="00F106C5" w:rsidP="003505F2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____________________________________________________________________________</w:t>
      </w:r>
    </w:p>
    <w:p w:rsidR="003505F2" w:rsidRPr="005D5D3F" w:rsidRDefault="00B60551" w:rsidP="00A41DA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Comunicado 31</w:t>
      </w:r>
      <w:r w:rsidR="00BB3ED7">
        <w:rPr>
          <w:rFonts w:ascii="Cambria" w:hAnsi="Cambria"/>
          <w:b/>
          <w:sz w:val="32"/>
          <w:szCs w:val="32"/>
        </w:rPr>
        <w:t>/2021</w:t>
      </w:r>
    </w:p>
    <w:p w:rsidR="003505F2" w:rsidRPr="005D5D3F" w:rsidRDefault="00B71171" w:rsidP="00A41DAA">
      <w:pPr>
        <w:spacing w:after="0" w:line="240" w:lineRule="auto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GERÊNCIA</w:t>
      </w:r>
      <w:r w:rsidR="003505F2" w:rsidRPr="005D5D3F">
        <w:rPr>
          <w:rFonts w:ascii="Cambria" w:hAnsi="Cambria"/>
          <w:b/>
          <w:sz w:val="32"/>
          <w:szCs w:val="32"/>
        </w:rPr>
        <w:t xml:space="preserve"> DE MEIO AMBIENTE</w:t>
      </w:r>
      <w:r>
        <w:rPr>
          <w:rFonts w:ascii="Cambria" w:hAnsi="Cambria"/>
          <w:b/>
          <w:sz w:val="32"/>
          <w:szCs w:val="32"/>
        </w:rPr>
        <w:t xml:space="preserve"> - GMAM</w:t>
      </w:r>
    </w:p>
    <w:p w:rsidR="003505F2" w:rsidRDefault="003505F2" w:rsidP="00A41DAA">
      <w:pPr>
        <w:spacing w:after="0" w:line="240" w:lineRule="auto"/>
        <w:rPr>
          <w:sz w:val="24"/>
        </w:rPr>
      </w:pPr>
    </w:p>
    <w:p w:rsidR="003505F2" w:rsidRPr="00A41DAA" w:rsidRDefault="00BB3ED7" w:rsidP="00A41DA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41DAA">
        <w:rPr>
          <w:rFonts w:ascii="Cambria" w:hAnsi="Cambria"/>
          <w:b/>
          <w:sz w:val="24"/>
          <w:szCs w:val="24"/>
        </w:rPr>
        <w:t xml:space="preserve">Bacia do Rio </w:t>
      </w:r>
      <w:r w:rsidR="00A0230C">
        <w:rPr>
          <w:rFonts w:ascii="Cambria" w:hAnsi="Cambria"/>
          <w:b/>
          <w:sz w:val="24"/>
          <w:szCs w:val="24"/>
        </w:rPr>
        <w:t>das Velhas</w:t>
      </w:r>
      <w:r w:rsidRPr="00A41DAA">
        <w:rPr>
          <w:rFonts w:ascii="Cambria" w:hAnsi="Cambria"/>
          <w:b/>
          <w:sz w:val="24"/>
          <w:szCs w:val="24"/>
        </w:rPr>
        <w:t xml:space="preserve"> (</w:t>
      </w:r>
      <w:r w:rsidR="00A0230C">
        <w:rPr>
          <w:rFonts w:ascii="Cambria" w:hAnsi="Cambria"/>
          <w:b/>
          <w:sz w:val="24"/>
          <w:szCs w:val="24"/>
        </w:rPr>
        <w:t>SF5</w:t>
      </w:r>
      <w:r w:rsidRPr="00A41DAA">
        <w:rPr>
          <w:rFonts w:ascii="Cambria" w:hAnsi="Cambria"/>
          <w:b/>
          <w:sz w:val="24"/>
          <w:szCs w:val="24"/>
        </w:rPr>
        <w:t>) – Situação Crítica</w:t>
      </w:r>
      <w:r w:rsidR="000D4B10">
        <w:rPr>
          <w:rFonts w:ascii="Cambria" w:hAnsi="Cambria"/>
          <w:b/>
          <w:sz w:val="24"/>
          <w:szCs w:val="24"/>
        </w:rPr>
        <w:t xml:space="preserve"> de Escassez</w:t>
      </w:r>
      <w:r w:rsidRPr="00A41DAA">
        <w:rPr>
          <w:rFonts w:ascii="Cambria" w:hAnsi="Cambria"/>
          <w:b/>
          <w:sz w:val="24"/>
          <w:szCs w:val="24"/>
        </w:rPr>
        <w:t xml:space="preserve"> e Redução do</w:t>
      </w:r>
      <w:r w:rsidR="000D4B10">
        <w:rPr>
          <w:rFonts w:ascii="Cambria" w:hAnsi="Cambria"/>
          <w:b/>
          <w:sz w:val="24"/>
          <w:szCs w:val="24"/>
        </w:rPr>
        <w:t>s</w:t>
      </w:r>
      <w:r w:rsidRPr="00A41DAA">
        <w:rPr>
          <w:rFonts w:ascii="Cambria" w:hAnsi="Cambria"/>
          <w:b/>
          <w:sz w:val="24"/>
          <w:szCs w:val="24"/>
        </w:rPr>
        <w:t xml:space="preserve"> </w:t>
      </w:r>
      <w:r w:rsidR="000D4B10">
        <w:rPr>
          <w:rFonts w:ascii="Cambria" w:hAnsi="Cambria"/>
          <w:b/>
          <w:sz w:val="24"/>
          <w:szCs w:val="24"/>
        </w:rPr>
        <w:t>Volumes Diários Outorgados</w:t>
      </w:r>
    </w:p>
    <w:p w:rsidR="00A41DAA" w:rsidRPr="00A41DAA" w:rsidRDefault="00A41DAA" w:rsidP="00A41DAA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B71171" w:rsidRPr="00BB3ED7" w:rsidRDefault="009D2D7F" w:rsidP="00BB3ED7">
      <w:pPr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O </w:t>
      </w:r>
      <w:proofErr w:type="spellStart"/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>Igam</w:t>
      </w:r>
      <w:proofErr w:type="spellEnd"/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publicou</w:t>
      </w:r>
      <w:r w:rsidR="005927F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em 01</w:t>
      </w:r>
      <w:r w:rsidR="00EA178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de </w:t>
      </w:r>
      <w:r w:rsidR="005927F7">
        <w:rPr>
          <w:rFonts w:ascii="Cambria" w:eastAsia="Times New Roman" w:hAnsi="Cambria" w:cs="Times New Roman"/>
          <w:sz w:val="24"/>
          <w:szCs w:val="24"/>
          <w:lang w:eastAsia="pt-BR"/>
        </w:rPr>
        <w:t>outu</w:t>
      </w:r>
      <w:r w:rsidR="00EA1782">
        <w:rPr>
          <w:rFonts w:ascii="Cambria" w:eastAsia="Times New Roman" w:hAnsi="Cambria" w:cs="Times New Roman"/>
          <w:sz w:val="24"/>
          <w:szCs w:val="24"/>
          <w:lang w:eastAsia="pt-BR"/>
        </w:rPr>
        <w:t>bro de 2021</w:t>
      </w: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a </w:t>
      </w:r>
      <w:hyperlink r:id="rId7" w:history="1">
        <w:r w:rsidRPr="00EA1782">
          <w:rPr>
            <w:rStyle w:val="Hyperlink"/>
            <w:rFonts w:ascii="Cambria" w:eastAsia="Times New Roman" w:hAnsi="Cambria" w:cs="Times New Roman"/>
            <w:b/>
            <w:sz w:val="24"/>
            <w:szCs w:val="24"/>
            <w:lang w:eastAsia="pt-BR"/>
          </w:rPr>
          <w:t>Portaria</w:t>
        </w:r>
        <w:r w:rsidR="005927F7">
          <w:rPr>
            <w:rStyle w:val="Hyperlink"/>
            <w:rFonts w:ascii="Cambria" w:eastAsia="Times New Roman" w:hAnsi="Cambria" w:cs="Times New Roman"/>
            <w:b/>
            <w:sz w:val="24"/>
            <w:szCs w:val="24"/>
            <w:lang w:eastAsia="pt-BR"/>
          </w:rPr>
          <w:t xml:space="preserve"> IGAM 76</w:t>
        </w:r>
        <w:r w:rsidRPr="00EA1782">
          <w:rPr>
            <w:rStyle w:val="Hyperlink"/>
            <w:rFonts w:ascii="Cambria" w:eastAsia="Times New Roman" w:hAnsi="Cambria" w:cs="Times New Roman"/>
            <w:b/>
            <w:sz w:val="24"/>
            <w:szCs w:val="24"/>
            <w:lang w:eastAsia="pt-BR"/>
          </w:rPr>
          <w:t>/2021</w:t>
        </w:r>
      </w:hyperlink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declarando situação crítica de escassez hídrica </w:t>
      </w:r>
      <w:r w:rsidR="00133801">
        <w:rPr>
          <w:rFonts w:ascii="Cambria" w:eastAsia="Times New Roman" w:hAnsi="Cambria" w:cs="Times New Roman"/>
          <w:sz w:val="24"/>
          <w:szCs w:val="24"/>
          <w:lang w:eastAsia="pt-BR"/>
        </w:rPr>
        <w:t xml:space="preserve">superficial </w:t>
      </w: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em trecho do rio </w:t>
      </w:r>
      <w:r w:rsidR="006E5CB8">
        <w:rPr>
          <w:rFonts w:ascii="Cambria" w:eastAsia="Times New Roman" w:hAnsi="Cambria" w:cs="Times New Roman"/>
          <w:sz w:val="24"/>
          <w:szCs w:val="24"/>
          <w:lang w:eastAsia="pt-BR"/>
        </w:rPr>
        <w:t>das Velhas</w:t>
      </w: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>a montante das coordenadas</w:t>
      </w:r>
      <w:r w:rsidR="006E5CB8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geográficas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6E5CB8">
        <w:rPr>
          <w:rFonts w:ascii="Cambria" w:eastAsia="Times New Roman" w:hAnsi="Cambria" w:cs="Times New Roman"/>
          <w:sz w:val="24"/>
          <w:szCs w:val="24"/>
          <w:lang w:eastAsia="pt-BR"/>
        </w:rPr>
        <w:t xml:space="preserve">latitude </w:t>
      </w:r>
      <w:r w:rsidR="009811EC">
        <w:rPr>
          <w:rFonts w:ascii="Cambria" w:eastAsia="Times New Roman" w:hAnsi="Cambria" w:cs="Times New Roman"/>
          <w:sz w:val="24"/>
          <w:szCs w:val="24"/>
          <w:lang w:eastAsia="pt-BR"/>
        </w:rPr>
        <w:t>-18,6728 e longitude -44,1939 (e</w:t>
      </w:r>
      <w:r w:rsidR="006E5CB8">
        <w:rPr>
          <w:rFonts w:ascii="Cambria" w:eastAsia="Times New Roman" w:hAnsi="Cambria" w:cs="Times New Roman"/>
          <w:sz w:val="24"/>
          <w:szCs w:val="24"/>
          <w:lang w:eastAsia="pt-BR"/>
        </w:rPr>
        <w:t>stação Ponte do Licínio Jusante) e a jusante das coordenadas -20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>,</w:t>
      </w:r>
      <w:r w:rsidR="006E5CB8">
        <w:rPr>
          <w:rFonts w:ascii="Cambria" w:eastAsia="Times New Roman" w:hAnsi="Cambria" w:cs="Times New Roman"/>
          <w:sz w:val="24"/>
          <w:szCs w:val="24"/>
          <w:lang w:eastAsia="pt-BR"/>
        </w:rPr>
        <w:t>0247 e -43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>,</w:t>
      </w:r>
      <w:r w:rsidR="009811EC">
        <w:rPr>
          <w:rFonts w:ascii="Cambria" w:eastAsia="Times New Roman" w:hAnsi="Cambria" w:cs="Times New Roman"/>
          <w:sz w:val="24"/>
          <w:szCs w:val="24"/>
          <w:lang w:eastAsia="pt-BR"/>
        </w:rPr>
        <w:t>8239 (e</w:t>
      </w:r>
      <w:bookmarkStart w:id="0" w:name="_GoBack"/>
      <w:bookmarkEnd w:id="0"/>
      <w:r w:rsidR="006E5CB8">
        <w:rPr>
          <w:rFonts w:ascii="Cambria" w:eastAsia="Times New Roman" w:hAnsi="Cambria" w:cs="Times New Roman"/>
          <w:sz w:val="24"/>
          <w:szCs w:val="24"/>
          <w:lang w:eastAsia="pt-BR"/>
        </w:rPr>
        <w:t>stação Honório Bicalho Montante)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</w:t>
      </w: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o que traz as seguintes </w:t>
      </w:r>
      <w:r w:rsidRPr="00A41DAA">
        <w:rPr>
          <w:rFonts w:ascii="Cambria" w:eastAsia="Times New Roman" w:hAnsi="Cambria" w:cs="Times New Roman"/>
          <w:sz w:val="24"/>
          <w:szCs w:val="24"/>
          <w:u w:val="single"/>
          <w:lang w:eastAsia="pt-BR"/>
        </w:rPr>
        <w:t>obrigações no uso das outorgas</w:t>
      </w:r>
      <w:r w:rsidR="00B71171" w:rsidRPr="00BB3ED7">
        <w:rPr>
          <w:rFonts w:ascii="Cambria" w:eastAsia="Times New Roman" w:hAnsi="Cambria" w:cs="Times New Roman"/>
          <w:sz w:val="24"/>
          <w:szCs w:val="24"/>
          <w:lang w:eastAsia="pt-BR"/>
        </w:rPr>
        <w:t>:</w:t>
      </w:r>
    </w:p>
    <w:p w:rsidR="009D2D7F" w:rsidRPr="00BB3ED7" w:rsidRDefault="00714BB2" w:rsidP="009D2D7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R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edução de </w:t>
      </w:r>
      <w:r w:rsidR="009D2D7F" w:rsidRPr="00A41DAA">
        <w:rPr>
          <w:rFonts w:ascii="Cambria" w:eastAsia="Times New Roman" w:hAnsi="Cambria" w:cs="Times New Roman"/>
          <w:b/>
          <w:sz w:val="24"/>
          <w:szCs w:val="24"/>
          <w:lang w:eastAsia="pt-BR"/>
        </w:rPr>
        <w:t>20%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do volume diário outorgado para as captações de água para a finalidade de consumo humano, </w:t>
      </w:r>
      <w:proofErr w:type="spellStart"/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>dessedentação</w:t>
      </w:r>
      <w:proofErr w:type="spellEnd"/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animal e abastecimento público; </w:t>
      </w:r>
    </w:p>
    <w:p w:rsidR="009D2D7F" w:rsidRPr="00BB3ED7" w:rsidRDefault="00714BB2" w:rsidP="009D2D7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R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edução de </w:t>
      </w:r>
      <w:r w:rsidR="009D2D7F" w:rsidRPr="00A41DAA">
        <w:rPr>
          <w:rFonts w:ascii="Cambria" w:eastAsia="Times New Roman" w:hAnsi="Cambria" w:cs="Times New Roman"/>
          <w:b/>
          <w:sz w:val="24"/>
          <w:szCs w:val="24"/>
          <w:lang w:eastAsia="pt-BR"/>
        </w:rPr>
        <w:t>25%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para a finalidade de irrigação; </w:t>
      </w:r>
    </w:p>
    <w:p w:rsidR="009D2D7F" w:rsidRPr="00BB3ED7" w:rsidRDefault="00714BB2" w:rsidP="009D2D7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R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edução de </w:t>
      </w:r>
      <w:r w:rsidR="009D2D7F" w:rsidRPr="00A41DAA">
        <w:rPr>
          <w:rFonts w:ascii="Cambria" w:eastAsia="Times New Roman" w:hAnsi="Cambria" w:cs="Times New Roman"/>
          <w:b/>
          <w:sz w:val="24"/>
          <w:szCs w:val="24"/>
          <w:lang w:eastAsia="pt-BR"/>
        </w:rPr>
        <w:t>30%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para as captações de água para a finalidade de consumo industrial e agroindustrial; </w:t>
      </w:r>
    </w:p>
    <w:p w:rsidR="00B71171" w:rsidRPr="00BB3ED7" w:rsidRDefault="00714BB2" w:rsidP="000D7394">
      <w:pPr>
        <w:pStyle w:val="PargrafodaLista"/>
        <w:numPr>
          <w:ilvl w:val="0"/>
          <w:numId w:val="2"/>
        </w:numPr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R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edução de </w:t>
      </w:r>
      <w:r w:rsidR="009D2D7F" w:rsidRPr="00A41DAA">
        <w:rPr>
          <w:rFonts w:ascii="Cambria" w:eastAsia="Times New Roman" w:hAnsi="Cambria" w:cs="Times New Roman"/>
          <w:b/>
          <w:sz w:val="24"/>
          <w:szCs w:val="24"/>
          <w:lang w:eastAsia="pt-BR"/>
        </w:rPr>
        <w:t>50%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do volume outorgado para as demais finalidades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</w:t>
      </w:r>
      <w:r w:rsidR="000D7394" w:rsidRPr="000D7394">
        <w:rPr>
          <w:rFonts w:ascii="Cambria" w:eastAsia="Times New Roman" w:hAnsi="Cambria" w:cs="Times New Roman"/>
          <w:sz w:val="24"/>
          <w:szCs w:val="24"/>
          <w:lang w:eastAsia="pt-BR"/>
        </w:rPr>
        <w:t>exceto usos não consuntivos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>.</w:t>
      </w:r>
    </w:p>
    <w:p w:rsidR="00BB3ED7" w:rsidRDefault="00BB3ED7" w:rsidP="00A41DAA">
      <w:pPr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É fundamental </w:t>
      </w:r>
      <w:r w:rsidR="00A41DAA">
        <w:rPr>
          <w:rFonts w:ascii="Cambria" w:eastAsia="Times New Roman" w:hAnsi="Cambria" w:cs="Times New Roman"/>
          <w:sz w:val="24"/>
          <w:szCs w:val="24"/>
          <w:lang w:eastAsia="pt-BR"/>
        </w:rPr>
        <w:t xml:space="preserve">o </w:t>
      </w: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conhecimento dos produtores rurais da bacia, para evitar multas e o cancelamento do direito de uso até </w:t>
      </w:r>
      <w:r w:rsidR="00775643">
        <w:rPr>
          <w:rFonts w:ascii="Cambria" w:eastAsia="Times New Roman" w:hAnsi="Cambria" w:cs="Times New Roman"/>
          <w:sz w:val="24"/>
          <w:szCs w:val="24"/>
          <w:lang w:eastAsia="pt-BR"/>
        </w:rPr>
        <w:t>que termine a situação crítica, conforme definido no art. 5º da citada Portaria:</w:t>
      </w:r>
    </w:p>
    <w:p w:rsidR="00775643" w:rsidRPr="00775643" w:rsidRDefault="00775643" w:rsidP="00775643">
      <w:pPr>
        <w:ind w:left="709" w:right="804"/>
        <w:jc w:val="both"/>
        <w:rPr>
          <w:rFonts w:ascii="Cambria" w:eastAsia="Times New Roman" w:hAnsi="Cambria" w:cs="Times New Roman"/>
          <w:i/>
          <w:sz w:val="24"/>
          <w:szCs w:val="24"/>
          <w:lang w:eastAsia="pt-BR"/>
        </w:rPr>
      </w:pPr>
      <w:r w:rsidRPr="00775643">
        <w:rPr>
          <w:rFonts w:ascii="Cambria" w:eastAsia="Times New Roman" w:hAnsi="Cambria" w:cs="Times New Roman"/>
          <w:i/>
          <w:sz w:val="24"/>
          <w:szCs w:val="24"/>
          <w:lang w:eastAsia="pt-BR"/>
        </w:rPr>
        <w:t xml:space="preserve">“Art. 5º. No caso de verificação do não cumprimento das restrições de usos impostas no artigo 3º desta Portaria, serão suspensos totalmente os direitos de uso de recursos hídricos dos infratores até o prazo final da vigência da situação crítica de escassez hídrica, sem prejuízo das demais sanções </w:t>
      </w:r>
      <w:r w:rsidR="00A0230C">
        <w:rPr>
          <w:rFonts w:ascii="Cambria" w:eastAsia="Times New Roman" w:hAnsi="Cambria" w:cs="Times New Roman"/>
          <w:i/>
          <w:sz w:val="24"/>
          <w:szCs w:val="24"/>
          <w:lang w:eastAsia="pt-BR"/>
        </w:rPr>
        <w:t xml:space="preserve">previstas na legislação </w:t>
      </w:r>
      <w:proofErr w:type="gramStart"/>
      <w:r w:rsidR="00A0230C">
        <w:rPr>
          <w:rFonts w:ascii="Cambria" w:eastAsia="Times New Roman" w:hAnsi="Cambria" w:cs="Times New Roman"/>
          <w:i/>
          <w:sz w:val="24"/>
          <w:szCs w:val="24"/>
          <w:lang w:eastAsia="pt-BR"/>
        </w:rPr>
        <w:t>vigente.</w:t>
      </w:r>
      <w:r w:rsidRPr="00775643">
        <w:rPr>
          <w:rFonts w:ascii="Cambria" w:eastAsia="Times New Roman" w:hAnsi="Cambria" w:cs="Times New Roman"/>
          <w:i/>
          <w:sz w:val="24"/>
          <w:szCs w:val="24"/>
          <w:lang w:eastAsia="pt-BR"/>
        </w:rPr>
        <w:t>”</w:t>
      </w:r>
      <w:proofErr w:type="gramEnd"/>
    </w:p>
    <w:p w:rsidR="00B71171" w:rsidRPr="00A41DAA" w:rsidRDefault="00F262C5" w:rsidP="00A41DAA">
      <w:pPr>
        <w:pStyle w:val="NormalWeb"/>
        <w:spacing w:before="94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  <w:r w:rsidRPr="00A41DAA">
        <w:rPr>
          <w:rFonts w:ascii="Cambria" w:hAnsi="Cambria"/>
          <w:u w:val="single"/>
        </w:rPr>
        <w:t xml:space="preserve">As reduções valem até </w:t>
      </w:r>
      <w:r w:rsidR="00A0230C">
        <w:rPr>
          <w:rFonts w:ascii="Cambria" w:hAnsi="Cambria"/>
          <w:u w:val="single"/>
        </w:rPr>
        <w:t>01</w:t>
      </w:r>
      <w:r w:rsidRPr="00A41DAA">
        <w:rPr>
          <w:rFonts w:ascii="Cambria" w:hAnsi="Cambria"/>
          <w:u w:val="single"/>
        </w:rPr>
        <w:t xml:space="preserve"> de </w:t>
      </w:r>
      <w:r w:rsidR="00A0230C">
        <w:rPr>
          <w:rFonts w:ascii="Cambria" w:hAnsi="Cambria"/>
          <w:u w:val="single"/>
        </w:rPr>
        <w:t>novembro</w:t>
      </w:r>
      <w:r w:rsidRPr="00A41DAA">
        <w:rPr>
          <w:rFonts w:ascii="Cambria" w:hAnsi="Cambria"/>
          <w:u w:val="single"/>
        </w:rPr>
        <w:t xml:space="preserve"> de 2021</w:t>
      </w:r>
      <w:r w:rsidRPr="00493A42">
        <w:rPr>
          <w:rFonts w:ascii="Cambria" w:hAnsi="Cambria"/>
        </w:rPr>
        <w:t xml:space="preserve">. A situação crítica foi definida a partir de monitoramento do Rio </w:t>
      </w:r>
      <w:r w:rsidR="00A0230C">
        <w:rPr>
          <w:rFonts w:ascii="Cambria" w:hAnsi="Cambria"/>
        </w:rPr>
        <w:t>das Velhas</w:t>
      </w:r>
      <w:r w:rsidRPr="00493A42">
        <w:rPr>
          <w:rFonts w:ascii="Cambria" w:hAnsi="Cambria"/>
        </w:rPr>
        <w:t xml:space="preserve">, que pertence à Bacia Hidrográfica do Rio </w:t>
      </w:r>
      <w:r w:rsidR="00A0230C">
        <w:rPr>
          <w:rFonts w:ascii="Cambria" w:hAnsi="Cambria"/>
        </w:rPr>
        <w:t>São Francisco</w:t>
      </w:r>
      <w:r w:rsidR="00714BB2">
        <w:rPr>
          <w:rFonts w:ascii="Cambria" w:hAnsi="Cambria"/>
        </w:rPr>
        <w:t>.</w:t>
      </w:r>
    </w:p>
    <w:p w:rsidR="00A0230C" w:rsidRDefault="006E5CB8" w:rsidP="00A0230C">
      <w:pPr>
        <w:pStyle w:val="NormalWeb"/>
        <w:keepNext/>
        <w:spacing w:before="94" w:beforeAutospacing="0" w:after="0" w:afterAutospacing="0"/>
        <w:jc w:val="both"/>
      </w:pPr>
      <w:r>
        <w:rPr>
          <w:rFonts w:ascii="Cambria" w:hAnsi="Cambria" w:cstheme="minorHAnsi"/>
          <w:noProof/>
          <w:sz w:val="22"/>
          <w:szCs w:val="22"/>
        </w:rPr>
        <w:lastRenderedPageBreak/>
        <w:drawing>
          <wp:inline distT="0" distB="0" distL="0" distR="0" wp14:anchorId="112CF8B1" wp14:editId="054D6556">
            <wp:extent cx="5731510" cy="4052570"/>
            <wp:effectExtent l="0" t="0" r="254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-_Ponte_do_Licínio_Jusant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AA" w:rsidRDefault="00A0230C" w:rsidP="00A0230C">
      <w:pPr>
        <w:pStyle w:val="Legenda"/>
        <w:jc w:val="both"/>
      </w:pPr>
      <w:r>
        <w:t xml:space="preserve">Figura </w:t>
      </w:r>
      <w:r w:rsidR="009811EC">
        <w:fldChar w:fldCharType="begin"/>
      </w:r>
      <w:r w:rsidR="009811EC">
        <w:instrText xml:space="preserve"> SEQ Figura \* ARABIC </w:instrText>
      </w:r>
      <w:r w:rsidR="009811EC">
        <w:fldChar w:fldCharType="separate"/>
      </w:r>
      <w:r>
        <w:rPr>
          <w:noProof/>
        </w:rPr>
        <w:t>1</w:t>
      </w:r>
      <w:r w:rsidR="009811EC">
        <w:rPr>
          <w:noProof/>
        </w:rPr>
        <w:fldChar w:fldCharType="end"/>
      </w:r>
      <w:r>
        <w:t xml:space="preserve"> - Mapa referente à Portaria IGAM 76/2021 (Fonte: </w:t>
      </w:r>
      <w:hyperlink r:id="rId9" w:history="1">
        <w:r w:rsidRPr="00CC6C10">
          <w:rPr>
            <w:rStyle w:val="Hyperlink"/>
          </w:rPr>
          <w:t>http://www.igam.mg.gov.br/images/stories/2021/Escassez_H%C3%ADdrica/Estado_de_Restri%C3%A7%C3%A3o/Esta%C3%A7%C3%A3o_Ponte_do_Lic%C3%ADnio_Jusante/Mapa_-_Ponte_do_Lic%C3%ADnio_Jusante.jpeg</w:t>
        </w:r>
      </w:hyperlink>
      <w:r>
        <w:t>)</w:t>
      </w:r>
    </w:p>
    <w:p w:rsidR="00A0230C" w:rsidRDefault="00A0230C">
      <w:pPr>
        <w:rPr>
          <w:rFonts w:ascii="Cambria" w:eastAsiaTheme="minorEastAsia" w:hAnsi="Cambria"/>
        </w:rPr>
      </w:pPr>
    </w:p>
    <w:p w:rsidR="00B54078" w:rsidRPr="00493A42" w:rsidRDefault="00A0230C">
      <w:pPr>
        <w:rPr>
          <w:rFonts w:ascii="Cambria" w:hAnsi="Cambria"/>
        </w:rPr>
      </w:pPr>
      <w:r>
        <w:rPr>
          <w:rFonts w:ascii="Cambria" w:eastAsiaTheme="minorEastAsia" w:hAnsi="Cambria"/>
        </w:rPr>
        <w:t>Acesso à Portaria 76</w:t>
      </w:r>
      <w:r w:rsidR="00F262C5" w:rsidRPr="00493A42">
        <w:rPr>
          <w:rFonts w:ascii="Cambria" w:eastAsiaTheme="minorEastAsia" w:hAnsi="Cambria"/>
        </w:rPr>
        <w:t>/2021:</w:t>
      </w:r>
    </w:p>
    <w:p w:rsidR="00775643" w:rsidRDefault="009811EC">
      <w:hyperlink r:id="rId10" w:history="1">
        <w:r w:rsidR="00A0230C" w:rsidRPr="00CC6C10">
          <w:rPr>
            <w:rStyle w:val="Hyperlink"/>
          </w:rPr>
          <w:t>http://www.igam.mg.gov.br/images/stories/2021/Escassez_H%C3%ADdrica/Declara%C3%A7%C3%B5es_de_Escassez_H%C3%ADdrica/Portaria_IGAM_n_076.2021.pdf</w:t>
        </w:r>
      </w:hyperlink>
    </w:p>
    <w:p w:rsidR="00A0230C" w:rsidRDefault="00A0230C"/>
    <w:sectPr w:rsidR="00A0230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D7" w:rsidRDefault="00BB3ED7" w:rsidP="00BB3ED7">
      <w:pPr>
        <w:spacing w:after="0" w:line="240" w:lineRule="auto"/>
      </w:pPr>
      <w:r>
        <w:separator/>
      </w:r>
    </w:p>
  </w:endnote>
  <w:endnote w:type="continuationSeparator" w:id="0">
    <w:p w:rsidR="00BB3ED7" w:rsidRDefault="00BB3ED7" w:rsidP="00BB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D7" w:rsidRDefault="00BB3ED7" w:rsidP="00BB3ED7">
      <w:pPr>
        <w:spacing w:after="0" w:line="240" w:lineRule="auto"/>
      </w:pPr>
      <w:r>
        <w:separator/>
      </w:r>
    </w:p>
  </w:footnote>
  <w:footnote w:type="continuationSeparator" w:id="0">
    <w:p w:rsidR="00BB3ED7" w:rsidRDefault="00BB3ED7" w:rsidP="00BB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D7" w:rsidRDefault="005927F7" w:rsidP="00BB3ED7">
    <w:pPr>
      <w:pStyle w:val="Cabealho"/>
      <w:jc w:val="right"/>
    </w:pPr>
    <w:r>
      <w:t>14</w:t>
    </w:r>
    <w:r w:rsidR="000D167F">
      <w:t>/10</w:t>
    </w:r>
    <w:r w:rsidR="00BB3ED7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5E14"/>
    <w:multiLevelType w:val="hybridMultilevel"/>
    <w:tmpl w:val="530EC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3031B"/>
    <w:multiLevelType w:val="hybridMultilevel"/>
    <w:tmpl w:val="820460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2"/>
    <w:rsid w:val="00003681"/>
    <w:rsid w:val="000807D2"/>
    <w:rsid w:val="000D167F"/>
    <w:rsid w:val="000D4B10"/>
    <w:rsid w:val="000D7394"/>
    <w:rsid w:val="00133801"/>
    <w:rsid w:val="001551C9"/>
    <w:rsid w:val="002D0B91"/>
    <w:rsid w:val="003505F2"/>
    <w:rsid w:val="00493A42"/>
    <w:rsid w:val="00501191"/>
    <w:rsid w:val="00560854"/>
    <w:rsid w:val="005927F7"/>
    <w:rsid w:val="005D5D3F"/>
    <w:rsid w:val="006E5CB8"/>
    <w:rsid w:val="00714BB2"/>
    <w:rsid w:val="00775643"/>
    <w:rsid w:val="00850577"/>
    <w:rsid w:val="008E084D"/>
    <w:rsid w:val="009811EC"/>
    <w:rsid w:val="009A7ABE"/>
    <w:rsid w:val="009D2D7F"/>
    <w:rsid w:val="00A0230C"/>
    <w:rsid w:val="00A40A3E"/>
    <w:rsid w:val="00A41DAA"/>
    <w:rsid w:val="00B54078"/>
    <w:rsid w:val="00B60551"/>
    <w:rsid w:val="00B71171"/>
    <w:rsid w:val="00BB3ED7"/>
    <w:rsid w:val="00C6780E"/>
    <w:rsid w:val="00C67C4C"/>
    <w:rsid w:val="00C929D9"/>
    <w:rsid w:val="00CB0B1D"/>
    <w:rsid w:val="00D449EB"/>
    <w:rsid w:val="00E42461"/>
    <w:rsid w:val="00EA1782"/>
    <w:rsid w:val="00F106C5"/>
    <w:rsid w:val="00F262C5"/>
    <w:rsid w:val="00F6009E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5937"/>
  <w15:chartTrackingRefBased/>
  <w15:docId w15:val="{64647081-B187-4784-8F35-D266F0F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009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407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711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3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ED7"/>
  </w:style>
  <w:style w:type="paragraph" w:styleId="Rodap">
    <w:name w:val="footer"/>
    <w:basedOn w:val="Normal"/>
    <w:link w:val="RodapChar"/>
    <w:uiPriority w:val="99"/>
    <w:unhideWhenUsed/>
    <w:rsid w:val="00BB3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ED7"/>
  </w:style>
  <w:style w:type="paragraph" w:styleId="Legenda">
    <w:name w:val="caption"/>
    <w:basedOn w:val="Normal"/>
    <w:next w:val="Normal"/>
    <w:uiPriority w:val="35"/>
    <w:unhideWhenUsed/>
    <w:qFormat/>
    <w:rsid w:val="00A023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gam.mg.gov.br/images/stories/2021/Escassez_H%C3%ADdrica/Declara%C3%A7%C3%B5es_de_Escassez_H%C3%ADdrica/Portaria_IGAM_n_076.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gam.mg.gov.br/images/stories/2021/Escassez_H%C3%ADdrica/Declara%C3%A7%C3%B5es_de_Escassez_H%C3%ADdrica/Portaria_IGAM_n_076.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am.mg.gov.br/images/stories/2021/Escassez_H%C3%ADdrica/Estado_de_Restri%C3%A7%C3%A3o/Esta%C3%A7%C3%A3o_Ponte_do_Lic%C3%ADnio_Jusante/Mapa_-_Ponte_do_Lic%C3%ADnio_Jusante.jpe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Ramos</dc:creator>
  <cp:keywords/>
  <dc:description/>
  <cp:lastModifiedBy>Rogerio Brito Morais</cp:lastModifiedBy>
  <cp:revision>4</cp:revision>
  <dcterms:created xsi:type="dcterms:W3CDTF">2021-10-14T12:04:00Z</dcterms:created>
  <dcterms:modified xsi:type="dcterms:W3CDTF">2021-10-14T13:32:00Z</dcterms:modified>
</cp:coreProperties>
</file>